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28"/>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 xml:space="preserve">CENTRAL GLP </w:t>
      </w:r>
      <w:r>
        <w:rPr>
          <w:rFonts w:eastAsia="Calibri" w:cs="Times New Roman"/>
          <w:b/>
          <w:i w:val="false"/>
          <w:strike w:val="false"/>
          <w:dstrike w:val="false"/>
          <w:outline w:val="false"/>
          <w:shadow w:val="false"/>
          <w:color w:val="auto"/>
          <w:kern w:val="0"/>
          <w:sz w:val="22"/>
          <w:szCs w:val="22"/>
          <w:u w:val="none"/>
          <w:em w:val="none"/>
          <w:lang w:val="pt-BR" w:eastAsia="en-US" w:bidi="ar-SA"/>
        </w:rPr>
        <w:t>EMEI VOVÓ PAULINA</w:t>
      </w:r>
    </w:p>
    <w:p>
      <w:pPr>
        <w:pStyle w:val="Normal"/>
        <w:spacing w:lineRule="auto" w:line="240"/>
        <w:jc w:val="center"/>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xml:space="preserve">: </w:t>
      </w:r>
      <w:r>
        <w:rPr>
          <w:rFonts w:eastAsia="Calibri" w:cs="Times New Roman" w:eastAsiaTheme="minorHAnsi"/>
          <w:b/>
          <w:i w:val="false"/>
          <w:strike w:val="false"/>
          <w:dstrike w:val="false"/>
          <w:outline w:val="false"/>
          <w:shadow w:val="false"/>
          <w:color w:val="auto"/>
          <w:kern w:val="0"/>
          <w:sz w:val="22"/>
          <w:szCs w:val="22"/>
          <w:u w:val="none"/>
          <w:em w:val="none"/>
          <w:lang w:val="pt-BR" w:eastAsia="en-US" w:bidi="ar-SA"/>
        </w:rPr>
        <w:t>RUA CORONEL DINARTE DE OLIVEIRA, Nº 45</w:t>
      </w:r>
    </w:p>
    <w:p>
      <w:pPr>
        <w:pStyle w:val="Normal"/>
        <w:spacing w:lineRule="auto" w:line="240"/>
        <w:jc w:val="center"/>
        <w:rPr>
          <w:rFonts w:cs="Times New Roman"/>
          <w:b/>
          <w:b/>
          <w:i w:val="false"/>
          <w:i w:val="false"/>
          <w:strike w:val="false"/>
          <w:dstrike w:val="false"/>
          <w:outline w:val="false"/>
          <w:shadow w:val="false"/>
          <w:color w:val="auto"/>
          <w:sz w:val="24"/>
          <w:szCs w:val="24"/>
          <w:u w:val="none"/>
          <w:em w:val="none"/>
        </w:rPr>
      </w:pPr>
      <w:r>
        <w:rPr>
          <w:rFonts w:cs="Times New Roman"/>
          <w:b/>
          <w:i w:val="false"/>
          <w:strike w:val="false"/>
          <w:dstrike w:val="false"/>
          <w:outline w:val="false"/>
          <w:shadow w:val="false"/>
          <w:color w:val="auto"/>
          <w:sz w:val="24"/>
          <w:szCs w:val="24"/>
          <w:u w:val="none"/>
          <w:em w:val="none"/>
        </w:rPr>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firstLine="360"/>
        <w:rPr>
          <w:sz w:val="24"/>
          <w:szCs w:val="24"/>
        </w:rPr>
      </w:pPr>
      <w:r>
        <w:rPr>
          <w:rFonts w:cs="Times New Roman"/>
          <w:sz w:val="22"/>
          <w:szCs w:val="22"/>
        </w:rPr>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firstLine="360"/>
        <w:rPr>
          <w:sz w:val="24"/>
          <w:szCs w:val="24"/>
        </w:rPr>
      </w:pPr>
      <w:r>
        <w:rPr>
          <w:rFonts w:cs="Times New Roman"/>
          <w:sz w:val="22"/>
          <w:szCs w:val="22"/>
        </w:rPr>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pPr>
      <w:r>
        <w:rPr>
          <w:rFonts w:cs="Times New Roman"/>
          <w:b/>
          <w:sz w:val="22"/>
          <w:szCs w:val="22"/>
        </w:rPr>
        <w:t>DISPOSIÇÕES GERAIS:</w:t>
      </w:r>
    </w:p>
    <w:p>
      <w:pPr>
        <w:pStyle w:val="Normal"/>
        <w:spacing w:lineRule="auto" w:line="240"/>
        <w:ind w:right="-143" w:hanging="0"/>
        <w:jc w:val="both"/>
        <w:rPr/>
      </w:pPr>
      <w:r>
        <w:rPr>
          <w:rFonts w:cs="Times New Roman"/>
          <w:b/>
          <w:sz w:val="24"/>
          <w:szCs w:val="24"/>
        </w:rPr>
        <w:tab/>
      </w:r>
      <w:r>
        <w:rPr>
          <w:rFonts w:cs="Times New Roman"/>
          <w:b w:val="false"/>
          <w:bCs w:val="false"/>
          <w:sz w:val="24"/>
          <w:szCs w:val="24"/>
        </w:rPr>
        <w:t>Nesta escola, só serão trocadas algumas peças para adequar a central às normas vigentes.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2"/>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2"/>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2"/>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2"/>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rFonts w:cs="Times New Roman"/>
          <w:sz w:val="24"/>
          <w:szCs w:val="24"/>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apenas um ponto de consumo (fogão 6 bocas com forno),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sz w:val="22"/>
          <w:szCs w:val="22"/>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rFonts w:cs="Times New Roman"/>
          <w:sz w:val="22"/>
          <w:szCs w:val="22"/>
        </w:rPr>
      </w:pPr>
      <w:r>
        <w:rPr>
          <w:rFonts w:cs="Times New Roman"/>
          <w:sz w:val="22"/>
          <w:szCs w:val="22"/>
        </w:rPr>
        <w:tab/>
        <w:t>A rede canalizada deverá ser executada com tubulação rígida de aço galvanizado, sem costura, no mínimo classe média, na cor amarela, com diâmetro de 20 mm (3/4”) e estar em conformidade com a NBR 5590. A união das tubulações deverá ser executada por processo de soldagem.</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 regulador de pressão deverá ser de 1º estágio, de baixa pressão, na cor amarela, que </w:t>
      </w:r>
      <w:r>
        <w:rPr>
          <w:rFonts w:eastAsia="Calibri" w:cs="" w:cstheme="minorBidi" w:eastAsiaTheme="minorHAnsi"/>
          <w:color w:val="auto"/>
          <w:kern w:val="0"/>
          <w:sz w:val="22"/>
          <w:szCs w:val="22"/>
          <w:lang w:val="pt-BR" w:eastAsia="en-US" w:bidi="ar-SA"/>
        </w:rPr>
        <w:t xml:space="preserve">permita uma vazão máxima de 12 kg/hora e pressão de saída de 2,8 kpa. </w:t>
      </w:r>
    </w:p>
    <w:p>
      <w:pPr>
        <w:pStyle w:val="Normal"/>
        <w:widowControl/>
        <w:bidi w:val="0"/>
        <w:spacing w:lineRule="auto" w:line="240" w:before="0" w:after="0"/>
        <w:ind w:right="0" w:hanging="0"/>
        <w:jc w:val="both"/>
        <w:rPr>
          <w:sz w:val="22"/>
          <w:szCs w:val="22"/>
        </w:rPr>
      </w:pPr>
      <w:r>
        <w:rPr>
          <w:rFonts w:eastAsia="Calibri" w:cs="" w:cstheme="minorBidi" w:eastAsiaTheme="minorHAnsi"/>
          <w:color w:val="auto"/>
          <w:kern w:val="0"/>
          <w:sz w:val="22"/>
          <w:szCs w:val="22"/>
          <w:lang w:val="pt-BR" w:eastAsia="en-US" w:bidi="ar-SA"/>
        </w:rPr>
        <w:tab/>
        <w:t xml:space="preserve">O manômetro deverá ser de aço inoxidável, com faixa de medição de 0 a 300 Psi, 0 a 21 kg, com rosca NPT, e servirá </w:t>
      </w:r>
      <w:r>
        <w:rPr>
          <w:rFonts w:eastAsia="Calibri" w:cs="Times New Roman" w:eastAsiaTheme="minorHAnsi"/>
          <w:b w:val="false"/>
          <w:i w:val="false"/>
          <w:caps w:val="false"/>
          <w:smallCaps w:val="false"/>
          <w:color w:val="auto"/>
          <w:spacing w:val="0"/>
          <w:kern w:val="0"/>
          <w:sz w:val="22"/>
          <w:szCs w:val="22"/>
          <w:lang w:val="pt-BR" w:eastAsia="en-US" w:bidi="ar-SA"/>
        </w:rPr>
        <w:t>para medir e indicar a intensidade da pressão</w:t>
      </w:r>
      <w:r>
        <w:rPr>
          <w:rFonts w:eastAsia="Calibri" w:cs="Times New Roman" w:eastAsiaTheme="minorHAnsi"/>
          <w:color w:val="auto"/>
          <w:kern w:val="0"/>
          <w:sz w:val="22"/>
          <w:szCs w:val="22"/>
          <w:lang w:val="pt-BR" w:eastAsia="en-US" w:bidi="ar-SA"/>
        </w:rPr>
        <w:t xml:space="preserve"> do gás.</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pPr>
      <w:r>
        <w:rPr>
          <w:rFonts w:cs="Times New Roman"/>
          <w:b/>
          <w:sz w:val="22"/>
          <w:szCs w:val="22"/>
          <w:u w:val="none"/>
        </w:rPr>
        <w:t>PRAZO DE EXECUÇÃO</w:t>
      </w:r>
    </w:p>
    <w:p>
      <w:pPr>
        <w:pStyle w:val="Normal"/>
        <w:spacing w:lineRule="auto" w:line="240"/>
        <w:ind w:right="-143" w:firstLine="360"/>
        <w:rPr/>
      </w:pPr>
      <w:r>
        <w:rPr>
          <w:rFonts w:cs="Times New Roman"/>
          <w:szCs w:val="24"/>
        </w:rPr>
        <w:t>A obra deverá ser executada em um prazo de 5 (cinco) dias,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 xml:space="preserve">Três Passos, </w:t>
      </w:r>
      <w:r>
        <w:rPr>
          <w:rFonts w:cs="Times New Roman"/>
          <w:sz w:val="22"/>
          <w:szCs w:val="22"/>
        </w:rPr>
        <w:t>1</w:t>
      </w:r>
      <w:r>
        <w:rPr>
          <w:rFonts w:cs="Times New Roman"/>
          <w:sz w:val="22"/>
          <w:szCs w:val="22"/>
        </w:rPr>
        <w:t xml:space="preserve">6 de </w:t>
      </w:r>
      <w:r>
        <w:rPr>
          <w:rFonts w:cs="Times New Roman"/>
          <w:sz w:val="22"/>
          <w:szCs w:val="22"/>
        </w:rPr>
        <w:t>Fevereiro</w:t>
      </w:r>
      <w:r>
        <w:rPr>
          <w:rFonts w:cs="Times New Roman"/>
          <w:sz w:val="22"/>
          <w:szCs w:val="22"/>
        </w:rPr>
        <w:t xml:space="preserve"> de 202</w:t>
      </w:r>
      <w:r>
        <w:rPr>
          <w:rFonts w:cs="Times New Roman"/>
          <w:sz w:val="22"/>
          <w:szCs w:val="22"/>
        </w:rPr>
        <w:t>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80832847"/>
    </w:sdtPr>
    <w:sdtContent>
      <w:p>
        <w:pPr>
          <w:pStyle w:val="Rodap"/>
          <w:jc w:val="right"/>
          <w:rPr/>
        </w:pPr>
        <w:r>
          <w:rPr/>
          <w:fldChar w:fldCharType="begin"/>
        </w:r>
        <w:r>
          <w:rPr/>
          <w:instrText> PAGE </w:instrText>
        </w:r>
        <w:r>
          <w:rPr/>
          <w:fldChar w:fldCharType="separate"/>
        </w:r>
        <w:r>
          <w:rPr/>
          <w:t>3</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1096167808"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sz w:val="22"/>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sz w:val="22"/>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sz w:val="22"/>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408"/>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408"/>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clear" w:pos="408"/>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clear" w:pos="408"/>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Application>LibreOffice/6.2.5.2$Windows_X86_64 LibreOffice_project/1ec314fa52f458adc18c4f025c545a4e8b22c159</Application>
  <Pages>3</Pages>
  <Words>1357</Words>
  <Characters>7381</Characters>
  <CharactersWithSpaces>8729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2016-04-06T17:50:00Z</dcterms:created>
  <dc:creator>Ederson</dc:creator>
  <dc:description/>
  <dc:language>pt-BR</dc:language>
  <cp:lastModifiedBy/>
  <cp:lastPrinted>2021-07-26T09:38:45Z</cp:lastPrinted>
  <dcterms:modified xsi:type="dcterms:W3CDTF">2022-02-16T14:11:24Z</dcterms:modified>
  <cp:revision>95</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