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47" w:rsidRPr="004E12F1" w:rsidRDefault="00584247">
      <w:pPr>
        <w:jc w:val="both"/>
        <w:rPr>
          <w:sz w:val="20"/>
          <w:szCs w:val="20"/>
        </w:rPr>
      </w:pPr>
    </w:p>
    <w:p w:rsidR="00067E00" w:rsidRPr="003E34BC" w:rsidRDefault="003526BF">
      <w:pPr>
        <w:jc w:val="both"/>
        <w:rPr>
          <w:b/>
        </w:rPr>
      </w:pPr>
      <w:r w:rsidRPr="003E34BC">
        <w:rPr>
          <w:b/>
        </w:rPr>
        <w:t>LICITAÇÃ</w:t>
      </w:r>
      <w:r w:rsidR="003F3648" w:rsidRPr="003E34BC">
        <w:rPr>
          <w:b/>
        </w:rPr>
        <w:t>O Nº 266/</w:t>
      </w:r>
      <w:proofErr w:type="gramStart"/>
      <w:r w:rsidR="003F3648" w:rsidRPr="003E34BC">
        <w:rPr>
          <w:b/>
        </w:rPr>
        <w:t>2022</w:t>
      </w:r>
      <w:r w:rsidR="00067E00" w:rsidRPr="003E34BC">
        <w:rPr>
          <w:b/>
        </w:rPr>
        <w:t>;</w:t>
      </w:r>
      <w:r w:rsidR="003F3648" w:rsidRPr="003E34BC">
        <w:rPr>
          <w:b/>
        </w:rPr>
        <w:t xml:space="preserve">  Pregão</w:t>
      </w:r>
      <w:proofErr w:type="gramEnd"/>
      <w:r w:rsidR="003F3648" w:rsidRPr="003E34BC">
        <w:rPr>
          <w:b/>
        </w:rPr>
        <w:t xml:space="preserve"> Presencial 221</w:t>
      </w:r>
      <w:r w:rsidRPr="003E34BC">
        <w:rPr>
          <w:b/>
        </w:rPr>
        <w:t>/2022</w:t>
      </w:r>
    </w:p>
    <w:p w:rsidR="00584247" w:rsidRPr="003E34BC" w:rsidRDefault="003526BF">
      <w:pPr>
        <w:jc w:val="both"/>
        <w:rPr>
          <w:b/>
        </w:rPr>
      </w:pPr>
      <w:r w:rsidRPr="003E34BC">
        <w:rPr>
          <w:b/>
        </w:rPr>
        <w:t>ASSUNTO: Esclarecimentos</w:t>
      </w:r>
    </w:p>
    <w:p w:rsidR="003F3648" w:rsidRPr="003E34BC" w:rsidRDefault="003F3648">
      <w:pPr>
        <w:jc w:val="both"/>
        <w:rPr>
          <w:b/>
        </w:rPr>
      </w:pPr>
      <w:r w:rsidRPr="003E34BC">
        <w:rPr>
          <w:b/>
        </w:rPr>
        <w:t xml:space="preserve">Requerente: </w:t>
      </w:r>
      <w:r w:rsidR="00D32169" w:rsidRPr="003E34BC">
        <w:rPr>
          <w:b/>
        </w:rPr>
        <w:t>Banrisul</w:t>
      </w:r>
    </w:p>
    <w:p w:rsidR="00EF2CB5" w:rsidRPr="003E34BC" w:rsidRDefault="004938BA">
      <w:pPr>
        <w:jc w:val="both"/>
      </w:pPr>
      <w:r w:rsidRPr="003E34BC">
        <w:t>=============================================================</w:t>
      </w:r>
    </w:p>
    <w:p w:rsidR="00584247" w:rsidRPr="003E34BC" w:rsidRDefault="003526BF">
      <w:pPr>
        <w:jc w:val="both"/>
        <w:rPr>
          <w:b/>
        </w:rPr>
      </w:pPr>
      <w:r w:rsidRPr="003E34BC">
        <w:rPr>
          <w:b/>
        </w:rPr>
        <w:t>I</w:t>
      </w:r>
      <w:r w:rsidR="003F3648" w:rsidRPr="003E34BC">
        <w:rPr>
          <w:b/>
        </w:rPr>
        <w:t xml:space="preserve"> – Do questionamento</w:t>
      </w:r>
    </w:p>
    <w:p w:rsidR="00571EEA" w:rsidRPr="003E34BC" w:rsidRDefault="00571EEA" w:rsidP="00571EEA">
      <w:pPr>
        <w:pStyle w:val="PargrafodaLista"/>
        <w:numPr>
          <w:ilvl w:val="0"/>
          <w:numId w:val="4"/>
        </w:numPr>
        <w:jc w:val="both"/>
        <w:rPr>
          <w:sz w:val="24"/>
          <w:szCs w:val="24"/>
        </w:rPr>
      </w:pPr>
      <w:r w:rsidRPr="003E34BC">
        <w:rPr>
          <w:sz w:val="24"/>
          <w:szCs w:val="24"/>
        </w:rPr>
        <w:t>Segue transcrição do item 8.5 do termo de referência (anexo I): A Instituição Financeira deverá ter sistema informatizado compatível com o da contratante, para que todas as operações sejam processadas por meio eletrônico e on-line, sendo que no caso de incompatibilidade, todas as despesas necessárias para tal adaptação correrão por conta da contratada”.</w:t>
      </w:r>
    </w:p>
    <w:p w:rsidR="00571EEA" w:rsidRPr="003E34BC" w:rsidRDefault="003E34BC" w:rsidP="00571EEA">
      <w:pPr>
        <w:pStyle w:val="PargrafodaLista"/>
        <w:jc w:val="both"/>
        <w:rPr>
          <w:sz w:val="24"/>
          <w:szCs w:val="24"/>
        </w:rPr>
      </w:pPr>
      <w:r w:rsidRPr="003E34BC">
        <w:rPr>
          <w:b/>
          <w:sz w:val="24"/>
          <w:szCs w:val="24"/>
        </w:rPr>
        <w:t>R.</w:t>
      </w:r>
      <w:r w:rsidRPr="003E34BC">
        <w:rPr>
          <w:sz w:val="24"/>
          <w:szCs w:val="24"/>
        </w:rPr>
        <w:t xml:space="preserve"> </w:t>
      </w:r>
      <w:r w:rsidR="00571EEA" w:rsidRPr="003E34BC">
        <w:rPr>
          <w:sz w:val="24"/>
          <w:szCs w:val="24"/>
        </w:rPr>
        <w:t xml:space="preserve">O sistema de gestão da folha de pagamento atualmente é gerenciado pela empresa Delta Soluções em Informática, a qual atualmente operacionaliza a folha de pagamento dos inativos e pensionistas do IPSTP, cuja pagamento é de livre escolha dos mesmos, disponibilizando arquivos para vários bancos. Portanto, referente aos arquivos bancários a serem disponibilizados pelo Município e pelo IPSTP acreditamos que os mesmos terão o mesmo leiaute da empresa vencedora, </w:t>
      </w:r>
      <w:r w:rsidR="00B368DC" w:rsidRPr="003E34BC">
        <w:rPr>
          <w:sz w:val="24"/>
          <w:szCs w:val="24"/>
        </w:rPr>
        <w:t xml:space="preserve">e caso a empresa vencedora tenha que fazer adequações em seu sistema as despesas serão por sua conta. </w:t>
      </w:r>
      <w:r w:rsidR="00571EEA" w:rsidRPr="003E34BC">
        <w:rPr>
          <w:sz w:val="24"/>
          <w:szCs w:val="24"/>
        </w:rPr>
        <w:t xml:space="preserve"> </w:t>
      </w:r>
    </w:p>
    <w:p w:rsidR="003526BF" w:rsidRPr="003E34BC" w:rsidRDefault="00571EEA" w:rsidP="00571EEA">
      <w:pPr>
        <w:pStyle w:val="PargrafodaLista"/>
        <w:numPr>
          <w:ilvl w:val="0"/>
          <w:numId w:val="4"/>
        </w:numPr>
        <w:jc w:val="both"/>
        <w:rPr>
          <w:sz w:val="24"/>
          <w:szCs w:val="24"/>
        </w:rPr>
      </w:pPr>
      <w:r w:rsidRPr="003E34BC">
        <w:rPr>
          <w:sz w:val="24"/>
          <w:szCs w:val="24"/>
        </w:rPr>
        <w:t xml:space="preserve"> </w:t>
      </w:r>
      <w:r w:rsidR="00B368DC" w:rsidRPr="003E34BC">
        <w:rPr>
          <w:sz w:val="24"/>
          <w:szCs w:val="24"/>
        </w:rPr>
        <w:t>Atualmente a folha da Prefeitura é paga através do Bradesco. Caso outra Instituição financeira vença o certame, muito possivelmente haverá necessidade de “desenvolvimento de layout” para processamento das informações. Esse procedimento será feito pela empresa contratada pelo Município para prestação dos serviços de informática? Os custos desta adaptação, conforme previsto no Edital correrão por conta da “contratada”?</w:t>
      </w:r>
      <w:r w:rsidR="003E34BC" w:rsidRPr="003E34BC">
        <w:rPr>
          <w:sz w:val="24"/>
          <w:szCs w:val="24"/>
        </w:rPr>
        <w:t xml:space="preserve"> </w:t>
      </w:r>
      <w:r w:rsidR="003E34BC" w:rsidRPr="003E34BC">
        <w:rPr>
          <w:b/>
          <w:sz w:val="24"/>
          <w:szCs w:val="24"/>
        </w:rPr>
        <w:t>R.</w:t>
      </w:r>
      <w:r w:rsidR="003E34BC" w:rsidRPr="003E34BC">
        <w:rPr>
          <w:sz w:val="24"/>
          <w:szCs w:val="24"/>
        </w:rPr>
        <w:t xml:space="preserve"> Sim, caso houverem. </w:t>
      </w:r>
    </w:p>
    <w:p w:rsidR="00B368DC" w:rsidRPr="003E34BC" w:rsidRDefault="00B368DC" w:rsidP="00571EEA">
      <w:pPr>
        <w:pStyle w:val="PargrafodaLista"/>
        <w:numPr>
          <w:ilvl w:val="0"/>
          <w:numId w:val="4"/>
        </w:numPr>
        <w:jc w:val="both"/>
        <w:rPr>
          <w:sz w:val="24"/>
          <w:szCs w:val="24"/>
        </w:rPr>
      </w:pPr>
      <w:r w:rsidRPr="003E34BC">
        <w:rPr>
          <w:sz w:val="24"/>
          <w:szCs w:val="24"/>
        </w:rPr>
        <w:t xml:space="preserve">Por se tratar de informação essencial para definição do preço, deverão informar os custos envolvidos na “integração entre os sistemas”: valor que será cobrado e a sua periodicidade (pagamento único, mensal ou forma diversa). </w:t>
      </w:r>
      <w:r w:rsidR="003E34BC" w:rsidRPr="003E34BC">
        <w:rPr>
          <w:b/>
          <w:sz w:val="24"/>
          <w:szCs w:val="24"/>
        </w:rPr>
        <w:t>R.</w:t>
      </w:r>
      <w:r w:rsidR="003E34BC" w:rsidRPr="003E34BC">
        <w:rPr>
          <w:sz w:val="24"/>
          <w:szCs w:val="24"/>
        </w:rPr>
        <w:t xml:space="preserve"> Se houver despesas para adequação do layout, deverá ser efetuado por pagamento único. </w:t>
      </w:r>
    </w:p>
    <w:p w:rsidR="00B368DC" w:rsidRDefault="00B368DC" w:rsidP="00571EEA">
      <w:pPr>
        <w:pStyle w:val="PargrafodaLista"/>
        <w:numPr>
          <w:ilvl w:val="0"/>
          <w:numId w:val="4"/>
        </w:numPr>
        <w:jc w:val="both"/>
        <w:rPr>
          <w:sz w:val="24"/>
          <w:szCs w:val="24"/>
        </w:rPr>
      </w:pPr>
      <w:r w:rsidRPr="003E34BC">
        <w:rPr>
          <w:sz w:val="24"/>
          <w:szCs w:val="24"/>
        </w:rPr>
        <w:t>Solicitamos que informem as pirâmides salariais (tanto da Prefeitura quanto do RPPS) baseadas na folha líquida, de acordo com os parâmetros a seguir:</w:t>
      </w:r>
    </w:p>
    <w:p w:rsidR="003E34BC" w:rsidRDefault="003E34BC" w:rsidP="003E34BC">
      <w:pPr>
        <w:pStyle w:val="PargrafodaLista"/>
        <w:jc w:val="both"/>
        <w:rPr>
          <w:sz w:val="24"/>
          <w:szCs w:val="24"/>
        </w:rPr>
      </w:pPr>
    </w:p>
    <w:p w:rsidR="003E34BC" w:rsidRDefault="003E34BC" w:rsidP="003E34BC">
      <w:pPr>
        <w:pStyle w:val="PargrafodaLista"/>
        <w:jc w:val="both"/>
        <w:rPr>
          <w:sz w:val="24"/>
          <w:szCs w:val="24"/>
        </w:rPr>
      </w:pPr>
    </w:p>
    <w:p w:rsidR="003E34BC" w:rsidRDefault="003E34BC" w:rsidP="003E34BC">
      <w:pPr>
        <w:pStyle w:val="PargrafodaLista"/>
        <w:jc w:val="both"/>
        <w:rPr>
          <w:sz w:val="24"/>
          <w:szCs w:val="24"/>
        </w:rPr>
      </w:pPr>
    </w:p>
    <w:p w:rsidR="003E34BC" w:rsidRDefault="003E34BC" w:rsidP="003E34BC">
      <w:pPr>
        <w:pStyle w:val="PargrafodaLista"/>
        <w:jc w:val="both"/>
        <w:rPr>
          <w:sz w:val="24"/>
          <w:szCs w:val="24"/>
        </w:rPr>
      </w:pPr>
    </w:p>
    <w:p w:rsidR="003E34BC" w:rsidRDefault="003E34BC" w:rsidP="003E34BC">
      <w:pPr>
        <w:pStyle w:val="PargrafodaLista"/>
        <w:jc w:val="both"/>
        <w:rPr>
          <w:sz w:val="24"/>
          <w:szCs w:val="24"/>
        </w:rPr>
      </w:pPr>
    </w:p>
    <w:p w:rsidR="003E34BC" w:rsidRPr="003E34BC" w:rsidRDefault="003E34BC" w:rsidP="003E34BC">
      <w:pPr>
        <w:pStyle w:val="PargrafodaLista"/>
        <w:jc w:val="both"/>
        <w:rPr>
          <w:sz w:val="24"/>
          <w:szCs w:val="24"/>
        </w:rPr>
      </w:pPr>
    </w:p>
    <w:p w:rsidR="00571EEA" w:rsidRPr="003E34BC" w:rsidRDefault="003E34BC" w:rsidP="00571EEA">
      <w:pPr>
        <w:jc w:val="both"/>
      </w:pPr>
      <w:r w:rsidRPr="003E34BC">
        <w:lastRenderedPageBreak/>
        <w:t>Mês base: OUTUBRO DE 2022</w:t>
      </w:r>
    </w:p>
    <w:p w:rsidR="00571EEA" w:rsidRPr="003E34BC" w:rsidRDefault="00571EEA" w:rsidP="00571EEA">
      <w:pPr>
        <w:jc w:val="both"/>
      </w:pPr>
      <w:r w:rsidRPr="003E34BC">
        <w:t>PIRÂMIDE SALARIAL</w:t>
      </w:r>
    </w:p>
    <w:tbl>
      <w:tblPr>
        <w:tblStyle w:val="Tabelacomgrade"/>
        <w:tblW w:w="0" w:type="auto"/>
        <w:tblLook w:val="04A0" w:firstRow="1" w:lastRow="0" w:firstColumn="1" w:lastColumn="0" w:noHBand="0" w:noVBand="1"/>
      </w:tblPr>
      <w:tblGrid>
        <w:gridCol w:w="750"/>
        <w:gridCol w:w="3780"/>
        <w:gridCol w:w="2265"/>
        <w:gridCol w:w="2266"/>
      </w:tblGrid>
      <w:tr w:rsidR="00571EEA" w:rsidRPr="003E34BC" w:rsidTr="00CC5CB4">
        <w:tc>
          <w:tcPr>
            <w:tcW w:w="750" w:type="dxa"/>
          </w:tcPr>
          <w:p w:rsidR="00571EEA" w:rsidRPr="003E34BC" w:rsidRDefault="00571EEA" w:rsidP="00CC5CB4">
            <w:pPr>
              <w:jc w:val="both"/>
            </w:pPr>
            <w:r w:rsidRPr="003E34BC">
              <w:t>Faixa</w:t>
            </w:r>
          </w:p>
        </w:tc>
        <w:tc>
          <w:tcPr>
            <w:tcW w:w="3780" w:type="dxa"/>
          </w:tcPr>
          <w:p w:rsidR="00571EEA" w:rsidRPr="003E34BC" w:rsidRDefault="00571EEA" w:rsidP="00CC5CB4">
            <w:pPr>
              <w:jc w:val="both"/>
            </w:pPr>
            <w:r w:rsidRPr="003E34BC">
              <w:t>Renda líquida</w:t>
            </w:r>
          </w:p>
        </w:tc>
        <w:tc>
          <w:tcPr>
            <w:tcW w:w="2265" w:type="dxa"/>
          </w:tcPr>
          <w:p w:rsidR="00571EEA" w:rsidRPr="003E34BC" w:rsidRDefault="00571EEA" w:rsidP="00CC5CB4">
            <w:pPr>
              <w:jc w:val="both"/>
            </w:pPr>
            <w:r w:rsidRPr="003E34BC">
              <w:t>Quantidade - Município</w:t>
            </w:r>
          </w:p>
        </w:tc>
        <w:tc>
          <w:tcPr>
            <w:tcW w:w="2266" w:type="dxa"/>
          </w:tcPr>
          <w:p w:rsidR="00571EEA" w:rsidRPr="003E34BC" w:rsidRDefault="00571EEA" w:rsidP="00CC5CB4">
            <w:pPr>
              <w:jc w:val="both"/>
            </w:pPr>
            <w:r w:rsidRPr="003E34BC">
              <w:t>Quantidade RPPS</w:t>
            </w:r>
          </w:p>
        </w:tc>
      </w:tr>
      <w:tr w:rsidR="00571EEA" w:rsidRPr="003E34BC" w:rsidTr="00CC5CB4">
        <w:tc>
          <w:tcPr>
            <w:tcW w:w="750" w:type="dxa"/>
          </w:tcPr>
          <w:p w:rsidR="00571EEA" w:rsidRPr="003E34BC" w:rsidRDefault="00571EEA" w:rsidP="00CC5CB4">
            <w:pPr>
              <w:jc w:val="both"/>
            </w:pPr>
            <w:r w:rsidRPr="003E34BC">
              <w:t>1</w:t>
            </w:r>
          </w:p>
        </w:tc>
        <w:tc>
          <w:tcPr>
            <w:tcW w:w="3780" w:type="dxa"/>
          </w:tcPr>
          <w:p w:rsidR="00571EEA" w:rsidRPr="003E34BC" w:rsidRDefault="00571EEA" w:rsidP="00CC5CB4">
            <w:pPr>
              <w:jc w:val="both"/>
            </w:pPr>
            <w:r w:rsidRPr="003E34BC">
              <w:t>Até R$ 1.000,00</w:t>
            </w:r>
          </w:p>
        </w:tc>
        <w:tc>
          <w:tcPr>
            <w:tcW w:w="2265" w:type="dxa"/>
          </w:tcPr>
          <w:p w:rsidR="00571EEA" w:rsidRPr="003E34BC" w:rsidRDefault="003E34BC" w:rsidP="00CC5CB4">
            <w:pPr>
              <w:jc w:val="both"/>
            </w:pPr>
            <w:r w:rsidRPr="003E34BC">
              <w:t>21*</w:t>
            </w:r>
          </w:p>
        </w:tc>
        <w:tc>
          <w:tcPr>
            <w:tcW w:w="2266" w:type="dxa"/>
          </w:tcPr>
          <w:p w:rsidR="00571EEA" w:rsidRPr="003E34BC" w:rsidRDefault="003E34BC" w:rsidP="00CC5CB4">
            <w:pPr>
              <w:jc w:val="both"/>
            </w:pPr>
            <w:r w:rsidRPr="003E34BC">
              <w:t>16</w:t>
            </w:r>
          </w:p>
        </w:tc>
      </w:tr>
      <w:tr w:rsidR="00571EEA" w:rsidRPr="003E34BC" w:rsidTr="00CC5CB4">
        <w:tc>
          <w:tcPr>
            <w:tcW w:w="750" w:type="dxa"/>
          </w:tcPr>
          <w:p w:rsidR="00571EEA" w:rsidRPr="003E34BC" w:rsidRDefault="00571EEA" w:rsidP="00CC5CB4">
            <w:pPr>
              <w:jc w:val="both"/>
            </w:pPr>
            <w:r w:rsidRPr="003E34BC">
              <w:t>2</w:t>
            </w:r>
          </w:p>
        </w:tc>
        <w:tc>
          <w:tcPr>
            <w:tcW w:w="3780" w:type="dxa"/>
          </w:tcPr>
          <w:p w:rsidR="00571EEA" w:rsidRPr="003E34BC" w:rsidRDefault="00571EEA" w:rsidP="00CC5CB4">
            <w:pPr>
              <w:jc w:val="both"/>
            </w:pPr>
            <w:r w:rsidRPr="003E34BC">
              <w:t>De R$ 1000,01 a R$ 2.000,00</w:t>
            </w:r>
          </w:p>
        </w:tc>
        <w:tc>
          <w:tcPr>
            <w:tcW w:w="2265" w:type="dxa"/>
          </w:tcPr>
          <w:p w:rsidR="00571EEA" w:rsidRPr="003E34BC" w:rsidRDefault="003E34BC" w:rsidP="00CC5CB4">
            <w:pPr>
              <w:jc w:val="both"/>
            </w:pPr>
            <w:r w:rsidRPr="003E34BC">
              <w:t>210</w:t>
            </w:r>
          </w:p>
        </w:tc>
        <w:tc>
          <w:tcPr>
            <w:tcW w:w="2266" w:type="dxa"/>
          </w:tcPr>
          <w:p w:rsidR="00571EEA" w:rsidRPr="003E34BC" w:rsidRDefault="003E34BC" w:rsidP="00CC5CB4">
            <w:pPr>
              <w:jc w:val="both"/>
            </w:pPr>
            <w:r w:rsidRPr="003E34BC">
              <w:t>55</w:t>
            </w:r>
          </w:p>
        </w:tc>
      </w:tr>
      <w:tr w:rsidR="00571EEA" w:rsidRPr="003E34BC" w:rsidTr="00CC5CB4">
        <w:tc>
          <w:tcPr>
            <w:tcW w:w="750" w:type="dxa"/>
          </w:tcPr>
          <w:p w:rsidR="00571EEA" w:rsidRPr="003E34BC" w:rsidRDefault="00571EEA" w:rsidP="00CC5CB4">
            <w:pPr>
              <w:jc w:val="both"/>
            </w:pPr>
            <w:r w:rsidRPr="003E34BC">
              <w:t>3</w:t>
            </w:r>
          </w:p>
        </w:tc>
        <w:tc>
          <w:tcPr>
            <w:tcW w:w="3780" w:type="dxa"/>
          </w:tcPr>
          <w:p w:rsidR="00571EEA" w:rsidRPr="003E34BC" w:rsidRDefault="00571EEA" w:rsidP="00CC5CB4">
            <w:pPr>
              <w:jc w:val="both"/>
            </w:pPr>
            <w:r w:rsidRPr="003E34BC">
              <w:t>De R$ 2.000,01 a R$ 3.000,00</w:t>
            </w:r>
          </w:p>
        </w:tc>
        <w:tc>
          <w:tcPr>
            <w:tcW w:w="2265" w:type="dxa"/>
          </w:tcPr>
          <w:p w:rsidR="00571EEA" w:rsidRPr="003E34BC" w:rsidRDefault="003E34BC" w:rsidP="00CC5CB4">
            <w:pPr>
              <w:jc w:val="both"/>
            </w:pPr>
            <w:r w:rsidRPr="003E34BC">
              <w:t>271</w:t>
            </w:r>
          </w:p>
        </w:tc>
        <w:tc>
          <w:tcPr>
            <w:tcW w:w="2266" w:type="dxa"/>
          </w:tcPr>
          <w:p w:rsidR="00571EEA" w:rsidRPr="003E34BC" w:rsidRDefault="003E34BC" w:rsidP="00CC5CB4">
            <w:pPr>
              <w:jc w:val="both"/>
            </w:pPr>
            <w:r w:rsidRPr="003E34BC">
              <w:t>90</w:t>
            </w:r>
          </w:p>
        </w:tc>
      </w:tr>
      <w:tr w:rsidR="00571EEA" w:rsidRPr="003E34BC" w:rsidTr="00CC5CB4">
        <w:tc>
          <w:tcPr>
            <w:tcW w:w="750" w:type="dxa"/>
          </w:tcPr>
          <w:p w:rsidR="00571EEA" w:rsidRPr="003E34BC" w:rsidRDefault="00571EEA" w:rsidP="00CC5CB4">
            <w:pPr>
              <w:jc w:val="both"/>
            </w:pPr>
            <w:r w:rsidRPr="003E34BC">
              <w:t>4</w:t>
            </w:r>
          </w:p>
        </w:tc>
        <w:tc>
          <w:tcPr>
            <w:tcW w:w="3780" w:type="dxa"/>
          </w:tcPr>
          <w:p w:rsidR="00571EEA" w:rsidRPr="003E34BC" w:rsidRDefault="00571EEA" w:rsidP="00CC5CB4">
            <w:pPr>
              <w:jc w:val="both"/>
            </w:pPr>
            <w:r w:rsidRPr="003E34BC">
              <w:t>De R$ 3.000,01 a R$ 4.000,00</w:t>
            </w:r>
          </w:p>
        </w:tc>
        <w:tc>
          <w:tcPr>
            <w:tcW w:w="2265" w:type="dxa"/>
          </w:tcPr>
          <w:p w:rsidR="00571EEA" w:rsidRPr="003E34BC" w:rsidRDefault="003E34BC" w:rsidP="00CC5CB4">
            <w:pPr>
              <w:jc w:val="both"/>
            </w:pPr>
            <w:r w:rsidRPr="003E34BC">
              <w:t>101</w:t>
            </w:r>
          </w:p>
        </w:tc>
        <w:tc>
          <w:tcPr>
            <w:tcW w:w="2266" w:type="dxa"/>
          </w:tcPr>
          <w:p w:rsidR="00571EEA" w:rsidRPr="003E34BC" w:rsidRDefault="003E34BC" w:rsidP="00CC5CB4">
            <w:pPr>
              <w:jc w:val="both"/>
            </w:pPr>
            <w:r w:rsidRPr="003E34BC">
              <w:t>89</w:t>
            </w:r>
          </w:p>
        </w:tc>
      </w:tr>
      <w:tr w:rsidR="00571EEA" w:rsidRPr="003E34BC" w:rsidTr="00CC5CB4">
        <w:tc>
          <w:tcPr>
            <w:tcW w:w="750" w:type="dxa"/>
          </w:tcPr>
          <w:p w:rsidR="00571EEA" w:rsidRPr="003E34BC" w:rsidRDefault="00571EEA" w:rsidP="00CC5CB4">
            <w:pPr>
              <w:jc w:val="both"/>
            </w:pPr>
            <w:r w:rsidRPr="003E34BC">
              <w:t>5</w:t>
            </w:r>
          </w:p>
        </w:tc>
        <w:tc>
          <w:tcPr>
            <w:tcW w:w="3780" w:type="dxa"/>
          </w:tcPr>
          <w:p w:rsidR="00571EEA" w:rsidRPr="003E34BC" w:rsidRDefault="00571EEA" w:rsidP="00CC5CB4">
            <w:pPr>
              <w:jc w:val="both"/>
            </w:pPr>
            <w:r w:rsidRPr="003E34BC">
              <w:t>De R$ 4.000,01 a R$ 5.000,00</w:t>
            </w:r>
          </w:p>
        </w:tc>
        <w:tc>
          <w:tcPr>
            <w:tcW w:w="2265" w:type="dxa"/>
          </w:tcPr>
          <w:p w:rsidR="00571EEA" w:rsidRPr="003E34BC" w:rsidRDefault="003E34BC" w:rsidP="00CC5CB4">
            <w:pPr>
              <w:jc w:val="both"/>
            </w:pPr>
            <w:r w:rsidRPr="003E34BC">
              <w:t>73</w:t>
            </w:r>
          </w:p>
        </w:tc>
        <w:tc>
          <w:tcPr>
            <w:tcW w:w="2266" w:type="dxa"/>
          </w:tcPr>
          <w:p w:rsidR="00571EEA" w:rsidRPr="003E34BC" w:rsidRDefault="003E34BC" w:rsidP="00CC5CB4">
            <w:pPr>
              <w:jc w:val="both"/>
            </w:pPr>
            <w:r w:rsidRPr="003E34BC">
              <w:t>17</w:t>
            </w:r>
          </w:p>
        </w:tc>
      </w:tr>
      <w:tr w:rsidR="00571EEA" w:rsidRPr="003E34BC" w:rsidTr="00CC5CB4">
        <w:tc>
          <w:tcPr>
            <w:tcW w:w="750" w:type="dxa"/>
          </w:tcPr>
          <w:p w:rsidR="00571EEA" w:rsidRPr="003E34BC" w:rsidRDefault="00571EEA" w:rsidP="00CC5CB4">
            <w:pPr>
              <w:jc w:val="both"/>
            </w:pPr>
            <w:r w:rsidRPr="003E34BC">
              <w:t>6</w:t>
            </w:r>
          </w:p>
        </w:tc>
        <w:tc>
          <w:tcPr>
            <w:tcW w:w="3780" w:type="dxa"/>
          </w:tcPr>
          <w:p w:rsidR="00571EEA" w:rsidRPr="003E34BC" w:rsidRDefault="00571EEA" w:rsidP="00CC5CB4">
            <w:pPr>
              <w:jc w:val="both"/>
            </w:pPr>
            <w:r w:rsidRPr="003E34BC">
              <w:t>De R$ 5.000,01 a R$ 6.000,00</w:t>
            </w:r>
          </w:p>
        </w:tc>
        <w:tc>
          <w:tcPr>
            <w:tcW w:w="2265" w:type="dxa"/>
          </w:tcPr>
          <w:p w:rsidR="00571EEA" w:rsidRPr="003E34BC" w:rsidRDefault="003E34BC" w:rsidP="00CC5CB4">
            <w:pPr>
              <w:jc w:val="both"/>
            </w:pPr>
            <w:r w:rsidRPr="003E34BC">
              <w:t>63</w:t>
            </w:r>
          </w:p>
        </w:tc>
        <w:tc>
          <w:tcPr>
            <w:tcW w:w="2266" w:type="dxa"/>
          </w:tcPr>
          <w:p w:rsidR="00571EEA" w:rsidRPr="003E34BC" w:rsidRDefault="003E34BC" w:rsidP="00CC5CB4">
            <w:pPr>
              <w:jc w:val="both"/>
            </w:pPr>
            <w:r w:rsidRPr="003E34BC">
              <w:t>11</w:t>
            </w:r>
          </w:p>
        </w:tc>
      </w:tr>
      <w:tr w:rsidR="00571EEA" w:rsidRPr="003E34BC" w:rsidTr="00CC5CB4">
        <w:tc>
          <w:tcPr>
            <w:tcW w:w="750" w:type="dxa"/>
          </w:tcPr>
          <w:p w:rsidR="00571EEA" w:rsidRPr="003E34BC" w:rsidRDefault="00571EEA" w:rsidP="00CC5CB4">
            <w:pPr>
              <w:jc w:val="both"/>
            </w:pPr>
            <w:r w:rsidRPr="003E34BC">
              <w:t>7</w:t>
            </w:r>
          </w:p>
        </w:tc>
        <w:tc>
          <w:tcPr>
            <w:tcW w:w="3780" w:type="dxa"/>
          </w:tcPr>
          <w:p w:rsidR="00571EEA" w:rsidRPr="003E34BC" w:rsidRDefault="00571EEA" w:rsidP="00CC5CB4">
            <w:pPr>
              <w:jc w:val="both"/>
            </w:pPr>
            <w:r w:rsidRPr="003E34BC">
              <w:t>De R$ 6.000,01 a R$ 7.000,00</w:t>
            </w:r>
          </w:p>
        </w:tc>
        <w:tc>
          <w:tcPr>
            <w:tcW w:w="2265" w:type="dxa"/>
          </w:tcPr>
          <w:p w:rsidR="00571EEA" w:rsidRPr="003E34BC" w:rsidRDefault="003E34BC" w:rsidP="00CC5CB4">
            <w:pPr>
              <w:jc w:val="both"/>
            </w:pPr>
            <w:r w:rsidRPr="003E34BC">
              <w:t>25</w:t>
            </w:r>
          </w:p>
        </w:tc>
        <w:tc>
          <w:tcPr>
            <w:tcW w:w="2266" w:type="dxa"/>
          </w:tcPr>
          <w:p w:rsidR="00571EEA" w:rsidRPr="003E34BC" w:rsidRDefault="003E34BC" w:rsidP="00CC5CB4">
            <w:pPr>
              <w:jc w:val="both"/>
            </w:pPr>
            <w:r w:rsidRPr="003E34BC">
              <w:t>06</w:t>
            </w:r>
          </w:p>
        </w:tc>
      </w:tr>
      <w:tr w:rsidR="00571EEA" w:rsidRPr="003E34BC" w:rsidTr="00CC5CB4">
        <w:tc>
          <w:tcPr>
            <w:tcW w:w="750" w:type="dxa"/>
          </w:tcPr>
          <w:p w:rsidR="00571EEA" w:rsidRPr="003E34BC" w:rsidRDefault="00571EEA" w:rsidP="00CC5CB4">
            <w:pPr>
              <w:jc w:val="both"/>
            </w:pPr>
            <w:r w:rsidRPr="003E34BC">
              <w:t>8</w:t>
            </w:r>
          </w:p>
        </w:tc>
        <w:tc>
          <w:tcPr>
            <w:tcW w:w="3780" w:type="dxa"/>
          </w:tcPr>
          <w:p w:rsidR="00571EEA" w:rsidRPr="003E34BC" w:rsidRDefault="00571EEA" w:rsidP="00CC5CB4">
            <w:pPr>
              <w:jc w:val="both"/>
            </w:pPr>
            <w:r w:rsidRPr="003E34BC">
              <w:t>De R$ 7.000,01 a R$ 8.000,00</w:t>
            </w:r>
          </w:p>
        </w:tc>
        <w:tc>
          <w:tcPr>
            <w:tcW w:w="2265" w:type="dxa"/>
          </w:tcPr>
          <w:p w:rsidR="00571EEA" w:rsidRPr="003E34BC" w:rsidRDefault="003E34BC" w:rsidP="00CC5CB4">
            <w:pPr>
              <w:jc w:val="both"/>
            </w:pPr>
            <w:r w:rsidRPr="003E34BC">
              <w:t>07</w:t>
            </w:r>
          </w:p>
        </w:tc>
        <w:tc>
          <w:tcPr>
            <w:tcW w:w="2266" w:type="dxa"/>
          </w:tcPr>
          <w:p w:rsidR="00571EEA" w:rsidRPr="003E34BC" w:rsidRDefault="003E34BC" w:rsidP="00CC5CB4">
            <w:pPr>
              <w:jc w:val="both"/>
            </w:pPr>
            <w:r w:rsidRPr="003E34BC">
              <w:t>0</w:t>
            </w:r>
          </w:p>
        </w:tc>
      </w:tr>
      <w:tr w:rsidR="00571EEA" w:rsidRPr="003E34BC" w:rsidTr="00CC5CB4">
        <w:tc>
          <w:tcPr>
            <w:tcW w:w="750" w:type="dxa"/>
          </w:tcPr>
          <w:p w:rsidR="00571EEA" w:rsidRPr="003E34BC" w:rsidRDefault="00571EEA" w:rsidP="00CC5CB4">
            <w:pPr>
              <w:jc w:val="both"/>
            </w:pPr>
            <w:r w:rsidRPr="003E34BC">
              <w:t>9</w:t>
            </w:r>
          </w:p>
        </w:tc>
        <w:tc>
          <w:tcPr>
            <w:tcW w:w="3780" w:type="dxa"/>
          </w:tcPr>
          <w:p w:rsidR="00571EEA" w:rsidRPr="003E34BC" w:rsidRDefault="00571EEA" w:rsidP="00CC5CB4">
            <w:pPr>
              <w:jc w:val="both"/>
            </w:pPr>
            <w:r w:rsidRPr="003E34BC">
              <w:t>De R$ 8.000,01 a R$ 9.000,00</w:t>
            </w:r>
          </w:p>
        </w:tc>
        <w:tc>
          <w:tcPr>
            <w:tcW w:w="2265" w:type="dxa"/>
          </w:tcPr>
          <w:p w:rsidR="00571EEA" w:rsidRPr="003E34BC" w:rsidRDefault="003E34BC" w:rsidP="00CC5CB4">
            <w:pPr>
              <w:jc w:val="both"/>
            </w:pPr>
            <w:r w:rsidRPr="003E34BC">
              <w:t>02</w:t>
            </w:r>
          </w:p>
        </w:tc>
        <w:tc>
          <w:tcPr>
            <w:tcW w:w="2266" w:type="dxa"/>
          </w:tcPr>
          <w:p w:rsidR="00571EEA" w:rsidRPr="003E34BC" w:rsidRDefault="003E34BC" w:rsidP="00CC5CB4">
            <w:pPr>
              <w:jc w:val="both"/>
            </w:pPr>
            <w:r w:rsidRPr="003E34BC">
              <w:t>02</w:t>
            </w:r>
          </w:p>
        </w:tc>
      </w:tr>
      <w:tr w:rsidR="00571EEA" w:rsidRPr="003E34BC" w:rsidTr="00CC5CB4">
        <w:tc>
          <w:tcPr>
            <w:tcW w:w="750" w:type="dxa"/>
          </w:tcPr>
          <w:p w:rsidR="00571EEA" w:rsidRPr="003E34BC" w:rsidRDefault="00571EEA" w:rsidP="00CC5CB4">
            <w:pPr>
              <w:jc w:val="both"/>
            </w:pPr>
            <w:r w:rsidRPr="003E34BC">
              <w:t>10</w:t>
            </w:r>
          </w:p>
        </w:tc>
        <w:tc>
          <w:tcPr>
            <w:tcW w:w="3780" w:type="dxa"/>
          </w:tcPr>
          <w:p w:rsidR="00571EEA" w:rsidRPr="003E34BC" w:rsidRDefault="00571EEA" w:rsidP="00CC5CB4">
            <w:pPr>
              <w:jc w:val="both"/>
            </w:pPr>
            <w:r w:rsidRPr="003E34BC">
              <w:t>De R$ 9.000,01 a R$ 10.000,00</w:t>
            </w:r>
          </w:p>
        </w:tc>
        <w:tc>
          <w:tcPr>
            <w:tcW w:w="2265" w:type="dxa"/>
          </w:tcPr>
          <w:p w:rsidR="00571EEA" w:rsidRPr="003E34BC" w:rsidRDefault="003E34BC" w:rsidP="00CC5CB4">
            <w:pPr>
              <w:jc w:val="both"/>
            </w:pPr>
            <w:r w:rsidRPr="003E34BC">
              <w:t>01</w:t>
            </w:r>
          </w:p>
        </w:tc>
        <w:tc>
          <w:tcPr>
            <w:tcW w:w="2266" w:type="dxa"/>
          </w:tcPr>
          <w:p w:rsidR="00571EEA" w:rsidRPr="003E34BC" w:rsidRDefault="003E34BC" w:rsidP="00CC5CB4">
            <w:pPr>
              <w:jc w:val="both"/>
            </w:pPr>
            <w:r w:rsidRPr="003E34BC">
              <w:t>0</w:t>
            </w:r>
          </w:p>
        </w:tc>
      </w:tr>
      <w:tr w:rsidR="00571EEA" w:rsidRPr="003E34BC" w:rsidTr="00CC5CB4">
        <w:tc>
          <w:tcPr>
            <w:tcW w:w="750" w:type="dxa"/>
          </w:tcPr>
          <w:p w:rsidR="00571EEA" w:rsidRPr="003E34BC" w:rsidRDefault="00571EEA" w:rsidP="00CC5CB4">
            <w:pPr>
              <w:jc w:val="both"/>
            </w:pPr>
            <w:r w:rsidRPr="003E34BC">
              <w:t>11</w:t>
            </w:r>
          </w:p>
        </w:tc>
        <w:tc>
          <w:tcPr>
            <w:tcW w:w="3780" w:type="dxa"/>
          </w:tcPr>
          <w:p w:rsidR="00571EEA" w:rsidRPr="003E34BC" w:rsidRDefault="00571EEA" w:rsidP="00CC5CB4">
            <w:pPr>
              <w:jc w:val="both"/>
            </w:pPr>
            <w:r w:rsidRPr="003E34BC">
              <w:t>Acima de R$ 10.000,01</w:t>
            </w:r>
          </w:p>
        </w:tc>
        <w:tc>
          <w:tcPr>
            <w:tcW w:w="2265" w:type="dxa"/>
          </w:tcPr>
          <w:p w:rsidR="00571EEA" w:rsidRPr="003E34BC" w:rsidRDefault="003E34BC" w:rsidP="00CC5CB4">
            <w:pPr>
              <w:jc w:val="both"/>
            </w:pPr>
            <w:r w:rsidRPr="003E34BC">
              <w:t>09</w:t>
            </w:r>
          </w:p>
        </w:tc>
        <w:tc>
          <w:tcPr>
            <w:tcW w:w="2266" w:type="dxa"/>
          </w:tcPr>
          <w:p w:rsidR="00571EEA" w:rsidRPr="003E34BC" w:rsidRDefault="003E34BC" w:rsidP="00CC5CB4">
            <w:pPr>
              <w:jc w:val="both"/>
            </w:pPr>
            <w:r w:rsidRPr="003E34BC">
              <w:t>01</w:t>
            </w:r>
          </w:p>
        </w:tc>
      </w:tr>
    </w:tbl>
    <w:p w:rsidR="00A92663" w:rsidRPr="003E34BC" w:rsidRDefault="003E34BC" w:rsidP="003E34BC">
      <w:pPr>
        <w:pStyle w:val="PargrafodaLista"/>
        <w:numPr>
          <w:ilvl w:val="0"/>
          <w:numId w:val="5"/>
        </w:numPr>
        <w:jc w:val="both"/>
        <w:rPr>
          <w:sz w:val="24"/>
          <w:szCs w:val="24"/>
        </w:rPr>
      </w:pPr>
      <w:r w:rsidRPr="003E34BC">
        <w:rPr>
          <w:sz w:val="24"/>
          <w:szCs w:val="24"/>
        </w:rPr>
        <w:t xml:space="preserve">Há 08 servidores em licença sem remuneração, pois estão em golo de licença interesse de até dois anos. </w:t>
      </w:r>
    </w:p>
    <w:p w:rsidR="00912D7B" w:rsidRPr="003E34BC" w:rsidRDefault="00912D7B">
      <w:pPr>
        <w:jc w:val="both"/>
      </w:pPr>
    </w:p>
    <w:p w:rsidR="00584247" w:rsidRPr="003E34BC" w:rsidRDefault="00024C2F">
      <w:pPr>
        <w:jc w:val="center"/>
      </w:pPr>
      <w:r w:rsidRPr="003E34BC">
        <w:t xml:space="preserve">Três Passos, </w:t>
      </w:r>
      <w:r w:rsidR="004E12F1" w:rsidRPr="003E34BC">
        <w:t>25</w:t>
      </w:r>
      <w:r w:rsidR="00AB27DC" w:rsidRPr="003E34BC">
        <w:t xml:space="preserve"> de novembro</w:t>
      </w:r>
      <w:r w:rsidRPr="003E34BC">
        <w:t xml:space="preserve"> de 2022</w:t>
      </w:r>
      <w:r w:rsidR="004938BA" w:rsidRPr="003E34BC">
        <w:t>.</w:t>
      </w:r>
    </w:p>
    <w:p w:rsidR="00584247" w:rsidRPr="003E34BC" w:rsidRDefault="004938BA">
      <w:pPr>
        <w:jc w:val="both"/>
      </w:pPr>
      <w:r w:rsidRPr="003E34BC">
        <w:tab/>
      </w:r>
      <w:r w:rsidRPr="003E34BC">
        <w:tab/>
      </w:r>
    </w:p>
    <w:p w:rsidR="00584247" w:rsidRPr="003E34BC" w:rsidRDefault="00584247" w:rsidP="00024C2F"/>
    <w:p w:rsidR="00342CBD" w:rsidRPr="003E34BC" w:rsidRDefault="00342CBD" w:rsidP="00024C2F"/>
    <w:p w:rsidR="003526BF" w:rsidRPr="003E34BC" w:rsidRDefault="00AB27DC" w:rsidP="00024C2F">
      <w:r w:rsidRPr="003E34BC">
        <w:t xml:space="preserve">Cristiane </w:t>
      </w:r>
      <w:proofErr w:type="spellStart"/>
      <w:r w:rsidRPr="003E34BC">
        <w:t>Seidel</w:t>
      </w:r>
      <w:proofErr w:type="spellEnd"/>
      <w:r w:rsidR="003E34BC">
        <w:tab/>
      </w:r>
      <w:r w:rsidR="003E34BC">
        <w:tab/>
      </w:r>
      <w:r w:rsidR="003E34BC">
        <w:tab/>
      </w:r>
      <w:r w:rsidR="003E34BC">
        <w:tab/>
      </w:r>
      <w:r w:rsidR="003E34BC">
        <w:tab/>
      </w:r>
      <w:bookmarkStart w:id="0" w:name="_GoBack"/>
      <w:bookmarkEnd w:id="0"/>
      <w:r w:rsidR="00342CBD" w:rsidRPr="003E34BC">
        <w:t xml:space="preserve">Ivete Mª B. </w:t>
      </w:r>
      <w:proofErr w:type="spellStart"/>
      <w:r w:rsidR="00342CBD" w:rsidRPr="003E34BC">
        <w:t>Linck</w:t>
      </w:r>
      <w:proofErr w:type="spellEnd"/>
    </w:p>
    <w:p w:rsidR="00342CBD" w:rsidRPr="003E34BC" w:rsidRDefault="00AB27DC" w:rsidP="00342CBD">
      <w:r w:rsidRPr="003E34BC">
        <w:t xml:space="preserve">Secretária de </w:t>
      </w:r>
      <w:r w:rsidR="001E3AF7" w:rsidRPr="003E34BC">
        <w:t>Administração</w:t>
      </w:r>
      <w:r w:rsidR="00342CBD" w:rsidRPr="003E34BC">
        <w:tab/>
      </w:r>
      <w:r w:rsidR="00342CBD" w:rsidRPr="003E34BC">
        <w:tab/>
      </w:r>
      <w:r w:rsidR="00342CBD" w:rsidRPr="003E34BC">
        <w:tab/>
      </w:r>
      <w:r w:rsidR="00342CBD" w:rsidRPr="003E34BC">
        <w:tab/>
        <w:t>Presidente do IPSTP</w:t>
      </w:r>
    </w:p>
    <w:p w:rsidR="003526BF" w:rsidRPr="003E34BC" w:rsidRDefault="003526BF" w:rsidP="00024C2F"/>
    <w:p w:rsidR="001E3AF7" w:rsidRPr="003E34BC" w:rsidRDefault="001E3AF7" w:rsidP="00024C2F"/>
    <w:p w:rsidR="001E3AF7" w:rsidRPr="003E34BC" w:rsidRDefault="001E3AF7" w:rsidP="00024C2F"/>
    <w:p w:rsidR="00342CBD" w:rsidRPr="003E34BC" w:rsidRDefault="004E12F1" w:rsidP="00024C2F">
      <w:r w:rsidRPr="003E34BC">
        <w:t>Magali F. M. dos Santos</w:t>
      </w:r>
    </w:p>
    <w:p w:rsidR="004E12F1" w:rsidRPr="003E34BC" w:rsidRDefault="004E12F1" w:rsidP="00024C2F">
      <w:r w:rsidRPr="003E34BC">
        <w:t>Pregoeira</w:t>
      </w:r>
    </w:p>
    <w:sectPr w:rsidR="004E12F1" w:rsidRPr="003E34BC" w:rsidSect="003E34BC">
      <w:headerReference w:type="default" r:id="rId8"/>
      <w:footerReference w:type="default" r:id="rId9"/>
      <w:pgSz w:w="11906" w:h="16838"/>
      <w:pgMar w:top="2835" w:right="1134" w:bottom="1418" w:left="1701" w:header="284"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F4" w:rsidRDefault="00EA68F4">
      <w:r>
        <w:separator/>
      </w:r>
    </w:p>
  </w:endnote>
  <w:endnote w:type="continuationSeparator" w:id="0">
    <w:p w:rsidR="00EA68F4" w:rsidRDefault="00EA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27108"/>
      <w:docPartObj>
        <w:docPartGallery w:val="Page Numbers (Top of Page)"/>
        <w:docPartUnique/>
      </w:docPartObj>
    </w:sdtPr>
    <w:sdtEndPr/>
    <w:sdtContent>
      <w:p w:rsidR="00584247" w:rsidRDefault="004938BA">
        <w:pPr>
          <w:pStyle w:val="Rodap"/>
          <w:jc w:val="right"/>
        </w:pPr>
        <w:r>
          <w:rPr>
            <w:sz w:val="20"/>
          </w:rPr>
          <w:t xml:space="preserve">Página </w:t>
        </w:r>
        <w:r>
          <w:rPr>
            <w:b/>
            <w:szCs w:val="24"/>
          </w:rPr>
          <w:fldChar w:fldCharType="begin"/>
        </w:r>
        <w:r>
          <w:rPr>
            <w:b/>
            <w:szCs w:val="24"/>
          </w:rPr>
          <w:instrText>PAGE</w:instrText>
        </w:r>
        <w:r>
          <w:rPr>
            <w:b/>
            <w:szCs w:val="24"/>
          </w:rPr>
          <w:fldChar w:fldCharType="separate"/>
        </w:r>
        <w:r w:rsidR="003E34BC">
          <w:rPr>
            <w:b/>
            <w:noProof/>
            <w:szCs w:val="24"/>
          </w:rPr>
          <w:t>2</w:t>
        </w:r>
        <w:r>
          <w:rPr>
            <w:b/>
            <w:szCs w:val="24"/>
          </w:rPr>
          <w:fldChar w:fldCharType="end"/>
        </w:r>
        <w:r>
          <w:rPr>
            <w:sz w:val="20"/>
          </w:rPr>
          <w:t xml:space="preserve"> de </w:t>
        </w:r>
        <w:r>
          <w:rPr>
            <w:b/>
            <w:szCs w:val="24"/>
          </w:rPr>
          <w:fldChar w:fldCharType="begin"/>
        </w:r>
        <w:r>
          <w:rPr>
            <w:b/>
            <w:szCs w:val="24"/>
          </w:rPr>
          <w:instrText>NUMPAGES</w:instrText>
        </w:r>
        <w:r>
          <w:rPr>
            <w:b/>
            <w:szCs w:val="24"/>
          </w:rPr>
          <w:fldChar w:fldCharType="separate"/>
        </w:r>
        <w:r w:rsidR="003E34BC">
          <w:rPr>
            <w:b/>
            <w:noProof/>
            <w:szCs w:val="24"/>
          </w:rPr>
          <w:t>2</w:t>
        </w:r>
        <w:r>
          <w:rPr>
            <w:b/>
            <w:szCs w:val="24"/>
          </w:rPr>
          <w:fldChar w:fldCharType="end"/>
        </w:r>
      </w:p>
    </w:sdtContent>
  </w:sdt>
  <w:p w:rsidR="00584247" w:rsidRDefault="004938BA">
    <w:pPr>
      <w:pStyle w:val="Rodap"/>
      <w:pBdr>
        <w:top w:val="single" w:sz="4" w:space="1" w:color="000000"/>
      </w:pBdr>
      <w:jc w:val="center"/>
      <w:rPr>
        <w:rFonts w:ascii="Arial" w:hAnsi="Arial"/>
        <w:b/>
        <w:sz w:val="16"/>
      </w:rPr>
    </w:pPr>
    <w:r>
      <w:rPr>
        <w:rFonts w:ascii="Arial" w:hAnsi="Arial"/>
        <w:b/>
        <w:sz w:val="16"/>
      </w:rPr>
      <w:t>Av. Santos Dumont, 75 - Três Passos/RS – CEP 98600-000</w:t>
    </w:r>
  </w:p>
  <w:p w:rsidR="00584247" w:rsidRDefault="004938BA">
    <w:pPr>
      <w:pStyle w:val="Rodap"/>
      <w:pBdr>
        <w:top w:val="single" w:sz="4" w:space="1" w:color="000000"/>
      </w:pBdr>
      <w:jc w:val="center"/>
    </w:pPr>
    <w:r>
      <w:rPr>
        <w:rFonts w:ascii="Arial" w:hAnsi="Arial"/>
        <w:b/>
        <w:sz w:val="16"/>
      </w:rPr>
      <w:t>Fone/Fax: (55) 3522-0403 – e-mail: prefeituracomprastp@hotmail.com</w:t>
    </w:r>
  </w:p>
  <w:p w:rsidR="00584247" w:rsidRDefault="00584247">
    <w:pPr>
      <w:pStyle w:val="Rodap"/>
      <w:tabs>
        <w:tab w:val="clear" w:pos="4252"/>
        <w:tab w:val="clear" w:pos="8504"/>
        <w:tab w:val="left" w:pos="35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F4" w:rsidRDefault="00EA68F4">
      <w:r>
        <w:separator/>
      </w:r>
    </w:p>
  </w:footnote>
  <w:footnote w:type="continuationSeparator" w:id="0">
    <w:p w:rsidR="00EA68F4" w:rsidRDefault="00EA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97" w:type="dxa"/>
      <w:tblCellMar>
        <w:left w:w="70" w:type="dxa"/>
        <w:right w:w="70" w:type="dxa"/>
      </w:tblCellMar>
      <w:tblLook w:val="0000" w:firstRow="0" w:lastRow="0" w:firstColumn="0" w:lastColumn="0" w:noHBand="0" w:noVBand="0"/>
    </w:tblPr>
    <w:tblGrid>
      <w:gridCol w:w="993"/>
      <w:gridCol w:w="8078"/>
      <w:gridCol w:w="1135"/>
    </w:tblGrid>
    <w:tr w:rsidR="00584247">
      <w:tc>
        <w:tcPr>
          <w:tcW w:w="993" w:type="dxa"/>
          <w:shd w:val="clear" w:color="auto" w:fill="auto"/>
        </w:tcPr>
        <w:p w:rsidR="00584247" w:rsidRDefault="00584247">
          <w:pPr>
            <w:ind w:left="-70"/>
            <w:jc w:val="center"/>
          </w:pPr>
        </w:p>
      </w:tc>
      <w:tc>
        <w:tcPr>
          <w:tcW w:w="8078" w:type="dxa"/>
          <w:shd w:val="clear" w:color="auto" w:fill="auto"/>
        </w:tcPr>
        <w:p w:rsidR="00584247" w:rsidRDefault="00584247">
          <w:pPr>
            <w:pStyle w:val="Ttulo1"/>
            <w:spacing w:line="360" w:lineRule="auto"/>
            <w:rPr>
              <w:rFonts w:ascii="Arial" w:hAnsi="Arial"/>
              <w:color w:val="auto"/>
              <w:sz w:val="18"/>
            </w:rPr>
          </w:pPr>
        </w:p>
        <w:p w:rsidR="00584247" w:rsidRDefault="003E34BC" w:rsidP="003E34BC">
          <w:pPr>
            <w:pStyle w:val="Ttulo1"/>
            <w:spacing w:line="360" w:lineRule="auto"/>
            <w:rPr>
              <w:rFonts w:ascii="Arial" w:hAnsi="Arial"/>
              <w:color w:val="auto"/>
              <w:sz w:val="18"/>
            </w:rPr>
          </w:pPr>
          <w:r>
            <w:object w:dxaOrig="1380" w:dyaOrig="1635">
              <v:shape id="ole_rId1" o:spid="_x0000_i1025" style="width:48.75pt;height:57.75pt" coordsize="" o:spt="100" adj="0,,0" path="" stroked="f">
                <v:stroke joinstyle="miter"/>
                <v:imagedata r:id="rId1" o:title=""/>
                <v:formulas/>
                <v:path o:connecttype="segments"/>
              </v:shape>
              <o:OLEObject Type="Embed" ProgID="PBrush" ShapeID="ole_rId1" DrawAspect="Content" ObjectID="_1731151441" r:id="rId2"/>
            </w:object>
          </w:r>
        </w:p>
        <w:p w:rsidR="00584247" w:rsidRDefault="004938BA" w:rsidP="003E34BC">
          <w:pPr>
            <w:pStyle w:val="Ttulo1"/>
            <w:rPr>
              <w:rFonts w:ascii="Arial" w:hAnsi="Arial"/>
              <w:color w:val="auto"/>
              <w:sz w:val="18"/>
            </w:rPr>
          </w:pPr>
          <w:r>
            <w:rPr>
              <w:rFonts w:ascii="Arial" w:hAnsi="Arial"/>
              <w:color w:val="auto"/>
              <w:sz w:val="18"/>
            </w:rPr>
            <w:t xml:space="preserve">MUNICÍPIO DE TRÊS PASSOS </w:t>
          </w:r>
        </w:p>
        <w:p w:rsidR="00584247" w:rsidRDefault="004938BA" w:rsidP="003E34BC">
          <w:pPr>
            <w:pStyle w:val="Ttulo1"/>
            <w:rPr>
              <w:rFonts w:ascii="Arial" w:hAnsi="Arial"/>
              <w:color w:val="auto"/>
              <w:sz w:val="18"/>
            </w:rPr>
          </w:pPr>
          <w:r>
            <w:rPr>
              <w:rFonts w:ascii="Arial" w:hAnsi="Arial"/>
              <w:color w:val="auto"/>
              <w:sz w:val="18"/>
            </w:rPr>
            <w:t>PODER EXECUTIVO</w:t>
          </w:r>
        </w:p>
        <w:p w:rsidR="00584247" w:rsidRDefault="00584247">
          <w:pPr>
            <w:pStyle w:val="Cabealho"/>
            <w:spacing w:line="360" w:lineRule="auto"/>
            <w:jc w:val="center"/>
            <w:rPr>
              <w:rFonts w:ascii="Arial" w:hAnsi="Arial"/>
              <w:sz w:val="18"/>
            </w:rPr>
          </w:pPr>
        </w:p>
      </w:tc>
      <w:tc>
        <w:tcPr>
          <w:tcW w:w="1135" w:type="dxa"/>
          <w:shd w:val="clear" w:color="auto" w:fill="auto"/>
        </w:tcPr>
        <w:p w:rsidR="00584247" w:rsidRDefault="00584247">
          <w:pPr>
            <w:jc w:val="center"/>
            <w:rPr>
              <w:sz w:val="18"/>
            </w:rPr>
          </w:pPr>
        </w:p>
      </w:tc>
    </w:tr>
  </w:tbl>
  <w:p w:rsidR="00584247" w:rsidRDefault="00584247">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9D6"/>
    <w:multiLevelType w:val="hybridMultilevel"/>
    <w:tmpl w:val="2E6E7E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A806F1"/>
    <w:multiLevelType w:val="hybridMultilevel"/>
    <w:tmpl w:val="104462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7DC58E9"/>
    <w:multiLevelType w:val="hybridMultilevel"/>
    <w:tmpl w:val="41D889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CB06AD9"/>
    <w:multiLevelType w:val="hybridMultilevel"/>
    <w:tmpl w:val="AEA8E932"/>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EE44224"/>
    <w:multiLevelType w:val="hybridMultilevel"/>
    <w:tmpl w:val="0EECCDFE"/>
    <w:lvl w:ilvl="0" w:tplc="2618E21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47"/>
    <w:rsid w:val="00024C2F"/>
    <w:rsid w:val="00067E00"/>
    <w:rsid w:val="001E3AF7"/>
    <w:rsid w:val="00303341"/>
    <w:rsid w:val="00342CBD"/>
    <w:rsid w:val="003526BF"/>
    <w:rsid w:val="003E34BC"/>
    <w:rsid w:val="003F3648"/>
    <w:rsid w:val="004938BA"/>
    <w:rsid w:val="004E12F1"/>
    <w:rsid w:val="00502223"/>
    <w:rsid w:val="00571EEA"/>
    <w:rsid w:val="00584247"/>
    <w:rsid w:val="005B531A"/>
    <w:rsid w:val="00680EBC"/>
    <w:rsid w:val="007F0ED2"/>
    <w:rsid w:val="00852D1A"/>
    <w:rsid w:val="00912D7B"/>
    <w:rsid w:val="009C503B"/>
    <w:rsid w:val="00A22BED"/>
    <w:rsid w:val="00A92663"/>
    <w:rsid w:val="00AB27DC"/>
    <w:rsid w:val="00B368DC"/>
    <w:rsid w:val="00BB5423"/>
    <w:rsid w:val="00C2361D"/>
    <w:rsid w:val="00C60175"/>
    <w:rsid w:val="00CD4F84"/>
    <w:rsid w:val="00D0670E"/>
    <w:rsid w:val="00D32169"/>
    <w:rsid w:val="00E65CE8"/>
    <w:rsid w:val="00EA68F4"/>
    <w:rsid w:val="00EF2CB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31B22-BA96-4B55-BAFC-BE166297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AA"/>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1647"/>
    <w:pPr>
      <w:keepNext/>
      <w:jc w:val="center"/>
      <w:outlineLvl w:val="0"/>
    </w:pPr>
    <w:rPr>
      <w:rFonts w:ascii="Comic Sans MS" w:hAnsi="Comic Sans MS"/>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EB38D8"/>
  </w:style>
  <w:style w:type="character" w:customStyle="1" w:styleId="RodapChar">
    <w:name w:val="Rodapé Char"/>
    <w:basedOn w:val="Fontepargpadro"/>
    <w:link w:val="Rodap"/>
    <w:uiPriority w:val="99"/>
    <w:qFormat/>
    <w:rsid w:val="00EB38D8"/>
  </w:style>
  <w:style w:type="character" w:customStyle="1" w:styleId="Ttulo1Char">
    <w:name w:val="Título 1 Char"/>
    <w:basedOn w:val="Fontepargpadro"/>
    <w:link w:val="Ttulo1"/>
    <w:qFormat/>
    <w:rsid w:val="00021647"/>
    <w:rPr>
      <w:rFonts w:ascii="Comic Sans MS" w:eastAsia="Times New Roman" w:hAnsi="Comic Sans MS" w:cs="Times New Roman"/>
      <w:b/>
      <w:color w:val="FF0000"/>
      <w:sz w:val="24"/>
      <w:szCs w:val="20"/>
      <w:lang w:eastAsia="pt-BR"/>
    </w:rPr>
  </w:style>
  <w:style w:type="character" w:customStyle="1" w:styleId="TextodenotaderodapChar">
    <w:name w:val="Texto de nota de rodapé Char"/>
    <w:basedOn w:val="Fontepargpadro"/>
    <w:link w:val="Textodenotaderodap"/>
    <w:uiPriority w:val="99"/>
    <w:semiHidden/>
    <w:qFormat/>
    <w:rsid w:val="00013C9C"/>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013C9C"/>
    <w:rPr>
      <w:vertAlign w:val="superscript"/>
    </w:rPr>
  </w:style>
  <w:style w:type="character" w:customStyle="1" w:styleId="RecuodecorpodetextoChar">
    <w:name w:val="Recuo de corpo de texto Char"/>
    <w:basedOn w:val="Fontepargpadro"/>
    <w:link w:val="Recuodecorpodetexto"/>
    <w:semiHidden/>
    <w:qFormat/>
    <w:rsid w:val="002708CE"/>
    <w:rPr>
      <w:rFonts w:ascii="Times New Roman" w:eastAsia="Times New Roman" w:hAnsi="Times New Roman" w:cs="Times New Roman"/>
      <w:sz w:val="20"/>
      <w:szCs w:val="20"/>
      <w:lang w:eastAsia="pt-BR"/>
    </w:rPr>
  </w:style>
  <w:style w:type="character" w:customStyle="1" w:styleId="LinkdaInternet">
    <w:name w:val="Link da Internet"/>
    <w:basedOn w:val="Fontepargpadro"/>
    <w:unhideWhenUsed/>
    <w:rsid w:val="00D041AF"/>
    <w:rPr>
      <w:color w:val="0000FF"/>
      <w:u w:val="single"/>
    </w:rPr>
  </w:style>
  <w:style w:type="character" w:styleId="nfase">
    <w:name w:val="Emphasis"/>
    <w:basedOn w:val="Fontepargpadro"/>
    <w:uiPriority w:val="20"/>
    <w:qFormat/>
    <w:rsid w:val="00F56ECD"/>
    <w:rPr>
      <w:i/>
      <w:iCs/>
    </w:rPr>
  </w:style>
  <w:style w:type="character" w:customStyle="1" w:styleId="firstementa">
    <w:name w:val="firstementa"/>
    <w:basedOn w:val="Fontepargpadro"/>
    <w:qFormat/>
    <w:rsid w:val="00547FBE"/>
  </w:style>
  <w:style w:type="character" w:customStyle="1" w:styleId="marcapalavra">
    <w:name w:val="marca_palavra"/>
    <w:basedOn w:val="Fontepargpadro"/>
    <w:qFormat/>
    <w:rsid w:val="00547FBE"/>
  </w:style>
  <w:style w:type="character" w:customStyle="1" w:styleId="hidden">
    <w:name w:val="hidden"/>
    <w:basedOn w:val="Fontepargpadro"/>
    <w:qFormat/>
    <w:rsid w:val="00547FBE"/>
  </w:style>
  <w:style w:type="character" w:customStyle="1" w:styleId="PargrafoNormalChar">
    <w:name w:val="Parágrafo Normal Char"/>
    <w:basedOn w:val="Fontepargpadro"/>
    <w:link w:val="PargrafoNormal"/>
    <w:qFormat/>
    <w:rsid w:val="00807540"/>
    <w:rPr>
      <w:rFonts w:ascii="Arial" w:eastAsia="Times New Roman" w:hAnsi="Arial" w:cs="Arial"/>
      <w:sz w:val="24"/>
      <w:szCs w:val="24"/>
      <w:lang w:eastAsia="pt-B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C431C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E337C1"/>
    <w:pPr>
      <w:spacing w:beforeAutospacing="1" w:afterAutospacing="1"/>
    </w:pPr>
  </w:style>
  <w:style w:type="paragraph" w:styleId="Cabealho">
    <w:name w:val="header"/>
    <w:basedOn w:val="Normal"/>
    <w:link w:val="CabealhoChar"/>
    <w:unhideWhenUsed/>
    <w:rsid w:val="00EB38D8"/>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B38D8"/>
    <w:pPr>
      <w:tabs>
        <w:tab w:val="center" w:pos="4252"/>
        <w:tab w:val="right" w:pos="8504"/>
      </w:tabs>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013C9C"/>
    <w:rPr>
      <w:rFonts w:asciiTheme="minorHAnsi" w:eastAsiaTheme="minorHAnsi" w:hAnsiTheme="minorHAnsi" w:cstheme="minorBidi"/>
      <w:sz w:val="20"/>
      <w:szCs w:val="20"/>
      <w:lang w:eastAsia="en-US"/>
    </w:rPr>
  </w:style>
  <w:style w:type="paragraph" w:styleId="Recuodecorpodetexto">
    <w:name w:val="Body Text Indent"/>
    <w:basedOn w:val="Normal"/>
    <w:link w:val="RecuodecorpodetextoChar"/>
    <w:semiHidden/>
    <w:rsid w:val="002708CE"/>
    <w:pPr>
      <w:jc w:val="both"/>
    </w:pPr>
    <w:rPr>
      <w:sz w:val="20"/>
      <w:szCs w:val="20"/>
    </w:rPr>
  </w:style>
  <w:style w:type="paragraph" w:customStyle="1" w:styleId="PargrafoNormal">
    <w:name w:val="Parágrafo Normal"/>
    <w:basedOn w:val="Normal"/>
    <w:link w:val="PargrafoNormalChar"/>
    <w:qFormat/>
    <w:rsid w:val="00807540"/>
    <w:pPr>
      <w:spacing w:after="60" w:line="360" w:lineRule="auto"/>
      <w:ind w:firstLine="1418"/>
      <w:jc w:val="both"/>
    </w:pPr>
    <w:rPr>
      <w:rFonts w:ascii="Arial" w:hAnsi="Arial" w:cs="Arial"/>
    </w:rPr>
  </w:style>
  <w:style w:type="paragraph" w:customStyle="1" w:styleId="STF-Citao1">
    <w:name w:val="STF-Citação1"/>
    <w:basedOn w:val="Normal"/>
    <w:uiPriority w:val="99"/>
    <w:qFormat/>
    <w:rsid w:val="00C54CD9"/>
    <w:pPr>
      <w:widowControl w:val="0"/>
      <w:spacing w:line="264" w:lineRule="auto"/>
      <w:ind w:left="1701" w:firstLine="567"/>
      <w:jc w:val="both"/>
    </w:pPr>
    <w:rPr>
      <w:rFonts w:ascii="Palatino Linotype" w:eastAsia="Arial Unicode MS" w:hAnsi="Palatino Linotype" w:cs="Tahoma"/>
    </w:rPr>
  </w:style>
  <w:style w:type="character" w:styleId="Hyperlink">
    <w:name w:val="Hyperlink"/>
    <w:basedOn w:val="Fontepargpadro"/>
    <w:uiPriority w:val="99"/>
    <w:semiHidden/>
    <w:unhideWhenUsed/>
    <w:rsid w:val="00E65CE8"/>
    <w:rPr>
      <w:color w:val="0000FF"/>
      <w:u w:val="single"/>
    </w:rPr>
  </w:style>
  <w:style w:type="paragraph" w:customStyle="1" w:styleId="Default">
    <w:name w:val="Default"/>
    <w:rsid w:val="00E65CE8"/>
    <w:pPr>
      <w:suppressAutoHyphens/>
      <w:autoSpaceDE w:val="0"/>
    </w:pPr>
    <w:rPr>
      <w:rFonts w:ascii="Times New Roman" w:eastAsia="Times New Roman" w:hAnsi="Times New Roman" w:cs="Times New Roman"/>
      <w:color w:val="000000"/>
      <w:sz w:val="24"/>
      <w:szCs w:val="24"/>
      <w:lang w:eastAsia="zh-CN"/>
    </w:rPr>
  </w:style>
  <w:style w:type="paragraph" w:styleId="Textodebalo">
    <w:name w:val="Balloon Text"/>
    <w:basedOn w:val="Normal"/>
    <w:link w:val="TextodebaloChar"/>
    <w:uiPriority w:val="99"/>
    <w:semiHidden/>
    <w:unhideWhenUsed/>
    <w:rsid w:val="003526BF"/>
    <w:rPr>
      <w:rFonts w:ascii="Segoe UI" w:hAnsi="Segoe UI" w:cs="Segoe UI"/>
      <w:sz w:val="18"/>
      <w:szCs w:val="18"/>
    </w:rPr>
  </w:style>
  <w:style w:type="character" w:customStyle="1" w:styleId="TextodebaloChar">
    <w:name w:val="Texto de balão Char"/>
    <w:basedOn w:val="Fontepargpadro"/>
    <w:link w:val="Textodebalo"/>
    <w:uiPriority w:val="99"/>
    <w:semiHidden/>
    <w:rsid w:val="003526BF"/>
    <w:rPr>
      <w:rFonts w:ascii="Segoe UI" w:eastAsia="Times New Roman" w:hAnsi="Segoe UI" w:cs="Segoe UI"/>
      <w:sz w:val="18"/>
      <w:szCs w:val="18"/>
      <w:lang w:eastAsia="pt-BR"/>
    </w:rPr>
  </w:style>
  <w:style w:type="table" w:styleId="Tabelacomgrade">
    <w:name w:val="Table Grid"/>
    <w:basedOn w:val="Tabelanormal"/>
    <w:uiPriority w:val="59"/>
    <w:rsid w:val="004E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C732A-07EB-45DA-92A3-CF2E3B78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437</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COMPUTADOR</dc:creator>
  <dc:description/>
  <cp:lastModifiedBy>TecleEnter</cp:lastModifiedBy>
  <cp:revision>4</cp:revision>
  <cp:lastPrinted>2022-11-21T20:22:00Z</cp:lastPrinted>
  <dcterms:created xsi:type="dcterms:W3CDTF">2022-11-27T01:58:00Z</dcterms:created>
  <dcterms:modified xsi:type="dcterms:W3CDTF">2022-11-28T17:38:00Z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